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5F94" w:rsidR="00AB5F94" w:rsidP="00AB5F94" w:rsidRDefault="002E380B" w14:paraId="7848371B" w14:textId="3A4685EE">
      <w:pPr>
        <w:rPr>
          <w:rFonts w:ascii="Helvetica" w:hAnsi="Helvetica" w:eastAsia="Helvetica" w:cs="Helvetica"/>
          <w:b/>
          <w:bCs/>
          <w:color w:val="00B0B1"/>
          <w:sz w:val="56"/>
          <w:szCs w:val="56"/>
          <w:lang w:val="en"/>
        </w:rPr>
      </w:pPr>
      <w:r>
        <w:rPr>
          <w:rFonts w:ascii="Helvetica" w:hAnsi="Helvetica" w:eastAsia="Helvetica" w:cs="Helvetica"/>
          <w:b/>
          <w:bCs/>
          <w:color w:val="00B0B1"/>
          <w:sz w:val="56"/>
          <w:szCs w:val="56"/>
          <w:lang w:val="en"/>
        </w:rPr>
        <w:t>Key Mes</w:t>
      </w:r>
      <w:r w:rsidR="00CF1335">
        <w:rPr>
          <w:rFonts w:ascii="Helvetica" w:hAnsi="Helvetica" w:eastAsia="Helvetica" w:cs="Helvetica"/>
          <w:b/>
          <w:bCs/>
          <w:color w:val="00B0B1"/>
          <w:sz w:val="56"/>
          <w:szCs w:val="56"/>
          <w:lang w:val="en"/>
        </w:rPr>
        <w:t>sages</w:t>
      </w:r>
    </w:p>
    <w:p w:rsidRPr="00AB5F94" w:rsidR="00AB5F94" w:rsidP="00AB5F94" w:rsidRDefault="00516C6D" w14:paraId="057709B6" w14:textId="52E03078">
      <w:pPr>
        <w:rPr>
          <w:rFonts w:ascii="Calibri Light" w:hAnsi="Calibri Light"/>
          <w:sz w:val="44"/>
          <w:szCs w:val="44"/>
          <w:lang w:val="en"/>
        </w:rPr>
      </w:pPr>
      <w:r w:rsidRPr="1EB87D78" w:rsidR="00516C6D">
        <w:rPr>
          <w:rFonts w:ascii="Calibri Light" w:hAnsi="Calibri Light"/>
          <w:sz w:val="44"/>
          <w:szCs w:val="44"/>
          <w:lang w:val="en"/>
        </w:rPr>
        <w:t>The Canadian Mental Health Association</w:t>
      </w:r>
      <w:r w:rsidRPr="1EB87D78" w:rsidR="785BEF7A">
        <w:rPr>
          <w:rFonts w:ascii="Calibri Light" w:hAnsi="Calibri Light"/>
          <w:sz w:val="44"/>
          <w:szCs w:val="44"/>
          <w:lang w:val="en"/>
        </w:rPr>
        <w:t xml:space="preserve"> in Alberta</w:t>
      </w:r>
      <w:r w:rsidRPr="1EB87D78" w:rsidR="1AD3E1B2">
        <w:rPr>
          <w:rFonts w:ascii="Calibri Light" w:hAnsi="Calibri Light"/>
          <w:sz w:val="44"/>
          <w:szCs w:val="44"/>
          <w:lang w:val="en"/>
        </w:rPr>
        <w:t xml:space="preserve">’s </w:t>
      </w:r>
      <w:r w:rsidRPr="1EB87D78" w:rsidR="008358C8">
        <w:rPr>
          <w:rFonts w:ascii="Calibri Light" w:hAnsi="Calibri Light"/>
          <w:sz w:val="44"/>
          <w:szCs w:val="44"/>
          <w:lang w:val="en"/>
        </w:rPr>
        <w:t>Recovery Month</w:t>
      </w:r>
      <w:r w:rsidRPr="1EB87D78" w:rsidR="7E39B0B4">
        <w:rPr>
          <w:rFonts w:ascii="Calibri Light" w:hAnsi="Calibri Light"/>
          <w:sz w:val="44"/>
          <w:szCs w:val="44"/>
          <w:lang w:val="en"/>
        </w:rPr>
        <w:t xml:space="preserve"> 2022</w:t>
      </w:r>
    </w:p>
    <w:p w:rsidR="003A17CE" w:rsidP="003A17CE" w:rsidRDefault="003A17CE" w14:paraId="177BF38D" w14:textId="77777777">
      <w:pPr>
        <w:rPr>
          <w:rFonts w:ascii="Arial" w:hAnsi="Arial" w:cs="Arial"/>
          <w:color w:val="201F1E"/>
          <w:shd w:val="clear" w:color="auto" w:fill="FFFFFF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5B50C0" w:rsidR="00CF1335" w:rsidTr="7C5B1A58" w14:paraId="65EC1E70" w14:textId="77777777">
        <w:tc>
          <w:tcPr>
            <w:tcW w:w="9918" w:type="dxa"/>
            <w:shd w:val="clear" w:color="auto" w:fill="5B9BD5" w:themeFill="accent5"/>
          </w:tcPr>
          <w:p w:rsidRPr="005B50C0" w:rsidR="00CF1335" w:rsidRDefault="00CF1335" w14:paraId="3D2C41FB" w14:textId="77777777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highlight w:val="yellow"/>
              </w:rPr>
            </w:pPr>
            <w:r w:rsidRPr="005B50C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Messaging</w:t>
            </w:r>
            <w:r w:rsidRPr="005B50C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3A17CE" w:rsidRDefault="00715506" w14:paraId="421B6946" w14:textId="32DE6A2E">
      <w:pPr>
        <w:rPr>
          <w:rFonts w:asciiTheme="minorHAnsi" w:hAnsiTheme="minorHAnsi" w:eastAsiaTheme="minorEastAsia" w:cstheme="minorBidi"/>
          <w:sz w:val="22"/>
          <w:szCs w:val="22"/>
        </w:rPr>
      </w:pPr>
      <w:r w:rsidRPr="5BFA1F30" w:rsidR="00715506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September is Recovery Month and a chance to recognize the successes and unique </w:t>
      </w:r>
      <w:r w:rsidRPr="5BFA1F30" w:rsidR="00715506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journeys</w:t>
      </w:r>
      <w:r w:rsidRPr="5BFA1F30" w:rsidR="00715506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 of those facing mental health and addiction challenges.</w:t>
      </w:r>
    </w:p>
    <w:p w:rsidR="5BFA1F30" w:rsidP="5BFA1F30" w:rsidRDefault="5BFA1F30" w14:paraId="1E7997FB" w14:textId="4F5CA31E">
      <w:pPr>
        <w:pStyle w:val="Normal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</w:p>
    <w:p w:rsidR="0DAEDA00" w:rsidP="5BFA1F30" w:rsidRDefault="0DAEDA00" w14:paraId="01E3FBFA" w14:textId="5693BB23">
      <w:pPr>
        <w:pStyle w:val="Normal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1EB87D78" w:rsidR="0DAEDA00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The Canadian Mental Health Association (CMHA) in Alberta</w:t>
      </w:r>
      <w:r w:rsidRPr="1EB87D78" w:rsidR="299FC430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’s</w:t>
      </w:r>
      <w:r w:rsidRPr="1EB87D78" w:rsidR="0DAEDA00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 Recovery Colleges offer a variety of recovery-focused courses designed for individuals, families, the workplace, and cultural and spiritual communities.</w:t>
      </w:r>
    </w:p>
    <w:p w:rsidR="5BFA1F30" w:rsidP="5BFA1F30" w:rsidRDefault="5BFA1F30" w14:paraId="77A67A6E" w14:textId="3D745638">
      <w:pPr>
        <w:pStyle w:val="Normal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</w:p>
    <w:p w:rsidR="7B837B17" w:rsidP="5BFA1F30" w:rsidRDefault="7B837B17" w14:paraId="5E01A63B" w14:textId="09A6C082">
      <w:pPr>
        <w:pStyle w:val="Normal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1EB87D78" w:rsidR="7B837B17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The Canadian Mental Health Association in Alberta’s </w:t>
      </w:r>
      <w:r w:rsidRPr="1EB87D78" w:rsidR="69D51DF3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Recovery College</w:t>
      </w:r>
      <w:r w:rsidRPr="1EB87D78" w:rsidR="5AD5EDB0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s</w:t>
      </w:r>
      <w:r w:rsidRPr="1EB87D78" w:rsidR="69D51DF3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 provide skills and connections to support individual</w:t>
      </w:r>
      <w:r w:rsidRPr="1EB87D78" w:rsidR="34AFADBA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s’</w:t>
      </w:r>
      <w:r w:rsidRPr="1EB87D78" w:rsidR="69D51DF3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 mental health journeys. These skills empower people to take control of their lives and support well-being.</w:t>
      </w:r>
    </w:p>
    <w:p w:rsidR="5BFA1F30" w:rsidP="5BFA1F30" w:rsidRDefault="5BFA1F30" w14:paraId="373E0BD7" w14:textId="6A7E6C2D">
      <w:pPr>
        <w:pStyle w:val="Normal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</w:p>
    <w:p w:rsidR="76E20E38" w:rsidP="5BFA1F30" w:rsidRDefault="76E20E38" w14:paraId="1237AFEB" w14:textId="2F83777F">
      <w:pPr>
        <w:pStyle w:val="Normal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1EB87D78" w:rsidR="76E20E38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The goal of the Canadian Mental Health Association in Alberta’s Recovery College courses is to empower people to manage their own mental health and/or addiction by providing skills, knowledge and tools t</w:t>
      </w:r>
      <w:r w:rsidRPr="1EB87D78" w:rsidR="153B316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o</w:t>
      </w:r>
      <w:r w:rsidRPr="1EB87D78" w:rsidR="76E20E38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 build resiliency, confidence, understanding and overall well-being.</w:t>
      </w:r>
    </w:p>
    <w:p w:rsidR="5BFA1F30" w:rsidP="5BFA1F30" w:rsidRDefault="5BFA1F30" w14:paraId="246F8F9D" w14:textId="76AC1C16">
      <w:pPr>
        <w:pStyle w:val="Normal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</w:p>
    <w:p w:rsidR="45A3E5F2" w:rsidP="5BFA1F30" w:rsidRDefault="45A3E5F2" w14:paraId="00B08ADB" w14:textId="60D3A88D">
      <w:pPr>
        <w:spacing w:line="276" w:lineRule="auto"/>
      </w:pPr>
      <w:r w:rsidRPr="1EB87D78" w:rsidR="45A3E5F2">
        <w:rPr>
          <w:rFonts w:ascii="Calibri" w:hAnsi="Calibri" w:eastAsia="Calibri" w:cs="Calibri"/>
          <w:noProof w:val="0"/>
          <w:sz w:val="22"/>
          <w:szCs w:val="22"/>
          <w:lang w:val="en-CA"/>
        </w:rPr>
        <w:t xml:space="preserve">The Canadian Mental Health Association in Alberta’s Recovery College courses offer </w:t>
      </w:r>
      <w:r w:rsidRPr="1EB87D78" w:rsidR="45A3E5F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CA"/>
        </w:rPr>
        <w:t>inclusive learning spaces where anyone interested in supporting their recovery journey can access information, support, and community connections to help them along the way.</w:t>
      </w:r>
    </w:p>
    <w:p w:rsidR="48520832" w:rsidP="48520832" w:rsidRDefault="48520832" w14:paraId="05533C92" w14:textId="07B34273">
      <w:pPr>
        <w:pStyle w:val="Normal"/>
        <w:spacing w:line="276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CA"/>
        </w:rPr>
      </w:pPr>
    </w:p>
    <w:p w:rsidR="083C13FD" w:rsidP="1EB87D78" w:rsidRDefault="083C13FD" w14:paraId="78AC138E" w14:textId="28607743">
      <w:pPr>
        <w:spacing w:after="0" w:line="24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CA"/>
        </w:rPr>
      </w:pPr>
      <w:r w:rsidRPr="1EB87D78" w:rsidR="03C50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Recovery is a journey, not a destination.</w:t>
      </w:r>
      <w:r>
        <w:tab/>
      </w:r>
      <w:r>
        <w:tab/>
      </w:r>
    </w:p>
    <w:p w:rsidR="5BFA1F30" w:rsidP="5BFA1F30" w:rsidRDefault="5BFA1F30" w14:paraId="3EB6DFC7" w14:textId="1BC3BC20">
      <w:pPr>
        <w:pStyle w:val="Normal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</w:p>
    <w:p w:rsidR="5BFA1F30" w:rsidP="5BFA1F30" w:rsidRDefault="5BFA1F30" w14:paraId="3FE3F649" w14:textId="389FEFDE">
      <w:pPr>
        <w:pStyle w:val="Normal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</w:p>
    <w:p w:rsidR="5BFA1F30" w:rsidP="5BFA1F30" w:rsidRDefault="5BFA1F30" w14:paraId="7EF8384E" w14:textId="1A55AD60">
      <w:pPr>
        <w:pStyle w:val="Normal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</w:p>
    <w:p w:rsidR="5BFA1F30" w:rsidP="5BFA1F30" w:rsidRDefault="5BFA1F30" w14:paraId="3F562E4C" w14:textId="4E92265D">
      <w:pPr>
        <w:pStyle w:val="Normal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</w:p>
    <w:p w:rsidR="5BFA1F30" w:rsidP="5BFA1F30" w:rsidRDefault="5BFA1F30" w14:paraId="6BDFC0AF" w14:textId="2040298F">
      <w:pPr>
        <w:pStyle w:val="Normal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</w:p>
    <w:p w:rsidR="5BFA1F30" w:rsidP="5BFA1F30" w:rsidRDefault="5BFA1F30" w14:paraId="7F5C4467" w14:textId="059764FD">
      <w:pPr>
        <w:pStyle w:val="Normal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</w:p>
    <w:p w:rsidR="5BFA1F30" w:rsidP="5BFA1F30" w:rsidRDefault="5BFA1F30" w14:paraId="694DEC57" w14:textId="1F744161">
      <w:pPr>
        <w:pStyle w:val="Normal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</w:p>
    <w:p w:rsidR="5BFA1F30" w:rsidP="5BFA1F30" w:rsidRDefault="5BFA1F30" w14:paraId="235E8D32" w14:textId="37D084C4">
      <w:pPr>
        <w:pStyle w:val="Normal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</w:p>
    <w:p w:rsidR="5BFA1F30" w:rsidP="5BFA1F30" w:rsidRDefault="5BFA1F30" w14:paraId="71B7807D" w14:textId="62FE4915">
      <w:pPr>
        <w:pStyle w:val="Normal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</w:p>
    <w:p w:rsidR="5BFA1F30" w:rsidP="5BFA1F30" w:rsidRDefault="5BFA1F30" w14:paraId="2943A329" w14:textId="661AE6A7">
      <w:pPr>
        <w:pStyle w:val="Normal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</w:p>
    <w:p w:rsidR="00715506" w:rsidRDefault="00715506" w14:paraId="199C3F34" w14:textId="77777777"/>
    <w:sectPr w:rsidR="00715506">
      <w:headerReference w:type="default" r:id="rId10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1C57" w:rsidP="003A17CE" w:rsidRDefault="00E11C57" w14:paraId="56BE8441" w14:textId="77777777">
      <w:r>
        <w:separator/>
      </w:r>
    </w:p>
  </w:endnote>
  <w:endnote w:type="continuationSeparator" w:id="0">
    <w:p w:rsidR="00E11C57" w:rsidP="003A17CE" w:rsidRDefault="00E11C57" w14:paraId="0FA386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1C57" w:rsidP="003A17CE" w:rsidRDefault="00E11C57" w14:paraId="697C1B90" w14:textId="77777777">
      <w:r>
        <w:separator/>
      </w:r>
    </w:p>
  </w:footnote>
  <w:footnote w:type="continuationSeparator" w:id="0">
    <w:p w:rsidR="00E11C57" w:rsidP="003A17CE" w:rsidRDefault="00E11C57" w14:paraId="2F8A165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A17CE" w:rsidRDefault="003A17CE" w14:paraId="5BA37ACB" w14:textId="03667F08">
    <w:pPr>
      <w:pStyle w:val="Header"/>
    </w:pPr>
    <w:r>
      <w:rPr>
        <w:noProof/>
      </w:rPr>
      <w:drawing>
        <wp:inline distT="0" distB="0" distL="0" distR="0" wp14:anchorId="0E2400D8" wp14:editId="16411505">
          <wp:extent cx="1971675" cy="622300"/>
          <wp:effectExtent l="0" t="0" r="9525" b="6350"/>
          <wp:docPr id="1" name="Picture 1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772519"/>
    <w:multiLevelType w:val="hybridMultilevel"/>
    <w:tmpl w:val="C28AD74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D265F7"/>
    <w:multiLevelType w:val="hybridMultilevel"/>
    <w:tmpl w:val="02EC8D7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4544357">
    <w:abstractNumId w:val="0"/>
  </w:num>
  <w:num w:numId="2" w16cid:durableId="606278911">
    <w:abstractNumId w:val="1"/>
  </w:num>
  <w:num w:numId="3" w16cid:durableId="313067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CE"/>
    <w:rsid w:val="000062EB"/>
    <w:rsid w:val="000577F6"/>
    <w:rsid w:val="000F0D3A"/>
    <w:rsid w:val="0012168C"/>
    <w:rsid w:val="00173DAF"/>
    <w:rsid w:val="00193F41"/>
    <w:rsid w:val="001B5127"/>
    <w:rsid w:val="001F4598"/>
    <w:rsid w:val="00251776"/>
    <w:rsid w:val="002E380B"/>
    <w:rsid w:val="00304DC5"/>
    <w:rsid w:val="003401A0"/>
    <w:rsid w:val="003453CC"/>
    <w:rsid w:val="003A17CE"/>
    <w:rsid w:val="003D6F38"/>
    <w:rsid w:val="00420192"/>
    <w:rsid w:val="004258D1"/>
    <w:rsid w:val="00445977"/>
    <w:rsid w:val="004728F1"/>
    <w:rsid w:val="004860B9"/>
    <w:rsid w:val="004D2A2A"/>
    <w:rsid w:val="00500352"/>
    <w:rsid w:val="00516C6D"/>
    <w:rsid w:val="00562572"/>
    <w:rsid w:val="005979F6"/>
    <w:rsid w:val="005D4B25"/>
    <w:rsid w:val="00605A5D"/>
    <w:rsid w:val="00623584"/>
    <w:rsid w:val="00626A95"/>
    <w:rsid w:val="00670160"/>
    <w:rsid w:val="00676915"/>
    <w:rsid w:val="006C0E3A"/>
    <w:rsid w:val="006E3BFC"/>
    <w:rsid w:val="006F0D44"/>
    <w:rsid w:val="00701408"/>
    <w:rsid w:val="00715506"/>
    <w:rsid w:val="007519EB"/>
    <w:rsid w:val="00785BE6"/>
    <w:rsid w:val="00801882"/>
    <w:rsid w:val="008358C8"/>
    <w:rsid w:val="00841017"/>
    <w:rsid w:val="008559C7"/>
    <w:rsid w:val="008B455A"/>
    <w:rsid w:val="008D6ADC"/>
    <w:rsid w:val="00944706"/>
    <w:rsid w:val="00971562"/>
    <w:rsid w:val="00982C6F"/>
    <w:rsid w:val="00A11700"/>
    <w:rsid w:val="00A5156E"/>
    <w:rsid w:val="00A662BF"/>
    <w:rsid w:val="00AB5F94"/>
    <w:rsid w:val="00AB7781"/>
    <w:rsid w:val="00B25516"/>
    <w:rsid w:val="00B3015F"/>
    <w:rsid w:val="00B402F0"/>
    <w:rsid w:val="00B43A22"/>
    <w:rsid w:val="00B951E4"/>
    <w:rsid w:val="00BA1369"/>
    <w:rsid w:val="00BA54C7"/>
    <w:rsid w:val="00BD01F4"/>
    <w:rsid w:val="00C132FB"/>
    <w:rsid w:val="00C56BF7"/>
    <w:rsid w:val="00C7633D"/>
    <w:rsid w:val="00CC5B12"/>
    <w:rsid w:val="00CF1335"/>
    <w:rsid w:val="00D341FD"/>
    <w:rsid w:val="00D37E6F"/>
    <w:rsid w:val="00D57BEB"/>
    <w:rsid w:val="00D76ACF"/>
    <w:rsid w:val="00D86624"/>
    <w:rsid w:val="00DA6A14"/>
    <w:rsid w:val="00DB794C"/>
    <w:rsid w:val="00DC55DF"/>
    <w:rsid w:val="00DC61FF"/>
    <w:rsid w:val="00E11C57"/>
    <w:rsid w:val="00E34D8F"/>
    <w:rsid w:val="00E374BF"/>
    <w:rsid w:val="00E610B1"/>
    <w:rsid w:val="00E94072"/>
    <w:rsid w:val="00EA29AA"/>
    <w:rsid w:val="00EC003D"/>
    <w:rsid w:val="00ED0F92"/>
    <w:rsid w:val="00F15DEA"/>
    <w:rsid w:val="00F746D0"/>
    <w:rsid w:val="00FB276D"/>
    <w:rsid w:val="00FE480E"/>
    <w:rsid w:val="02AC8AB6"/>
    <w:rsid w:val="02B07B45"/>
    <w:rsid w:val="03C500D9"/>
    <w:rsid w:val="03DBEACC"/>
    <w:rsid w:val="06DBDEFA"/>
    <w:rsid w:val="083C13FD"/>
    <w:rsid w:val="0927AA4F"/>
    <w:rsid w:val="095D5084"/>
    <w:rsid w:val="0B50BA49"/>
    <w:rsid w:val="0DAEDA00"/>
    <w:rsid w:val="10B67D58"/>
    <w:rsid w:val="111063C4"/>
    <w:rsid w:val="1132BC34"/>
    <w:rsid w:val="12524DB9"/>
    <w:rsid w:val="12F39021"/>
    <w:rsid w:val="13B81103"/>
    <w:rsid w:val="150486AF"/>
    <w:rsid w:val="153B316F"/>
    <w:rsid w:val="1568A5D9"/>
    <w:rsid w:val="16D8DA67"/>
    <w:rsid w:val="17FB2C4A"/>
    <w:rsid w:val="19C75314"/>
    <w:rsid w:val="1AB161E7"/>
    <w:rsid w:val="1ABA4DE0"/>
    <w:rsid w:val="1AD3E1B2"/>
    <w:rsid w:val="1C7AE54B"/>
    <w:rsid w:val="1CC08AF3"/>
    <w:rsid w:val="1EB87D78"/>
    <w:rsid w:val="1FA713F0"/>
    <w:rsid w:val="20B5020E"/>
    <w:rsid w:val="20BF56C7"/>
    <w:rsid w:val="20D87F24"/>
    <w:rsid w:val="22427F4D"/>
    <w:rsid w:val="22744F85"/>
    <w:rsid w:val="23DFEC3D"/>
    <w:rsid w:val="2491A064"/>
    <w:rsid w:val="25F928A7"/>
    <w:rsid w:val="267AACDB"/>
    <w:rsid w:val="267B8B21"/>
    <w:rsid w:val="28488CC1"/>
    <w:rsid w:val="28F5D617"/>
    <w:rsid w:val="2979A0F2"/>
    <w:rsid w:val="299FC430"/>
    <w:rsid w:val="2A1E5731"/>
    <w:rsid w:val="2ACB535D"/>
    <w:rsid w:val="2D1EFC3F"/>
    <w:rsid w:val="2E080470"/>
    <w:rsid w:val="2EB2EF13"/>
    <w:rsid w:val="3084A5A0"/>
    <w:rsid w:val="32399E5E"/>
    <w:rsid w:val="34AFADBA"/>
    <w:rsid w:val="375651DD"/>
    <w:rsid w:val="3779691C"/>
    <w:rsid w:val="3A0E31A4"/>
    <w:rsid w:val="3D2B1618"/>
    <w:rsid w:val="3D725A15"/>
    <w:rsid w:val="3FB417CF"/>
    <w:rsid w:val="418E8C5D"/>
    <w:rsid w:val="427CB33A"/>
    <w:rsid w:val="4391AC7C"/>
    <w:rsid w:val="444BE681"/>
    <w:rsid w:val="446EF4A2"/>
    <w:rsid w:val="45A3E5F2"/>
    <w:rsid w:val="46453EB3"/>
    <w:rsid w:val="48520832"/>
    <w:rsid w:val="489A301E"/>
    <w:rsid w:val="491F57A4"/>
    <w:rsid w:val="49293D68"/>
    <w:rsid w:val="494A8FB9"/>
    <w:rsid w:val="496E2F6E"/>
    <w:rsid w:val="49EE6F1C"/>
    <w:rsid w:val="49F842E0"/>
    <w:rsid w:val="4ABB2805"/>
    <w:rsid w:val="4F2FBF88"/>
    <w:rsid w:val="50E90A02"/>
    <w:rsid w:val="51344F4D"/>
    <w:rsid w:val="5306D5C7"/>
    <w:rsid w:val="549E69D8"/>
    <w:rsid w:val="551BEB03"/>
    <w:rsid w:val="555793A6"/>
    <w:rsid w:val="55D013DC"/>
    <w:rsid w:val="5656A820"/>
    <w:rsid w:val="57ABBAC5"/>
    <w:rsid w:val="58E93A09"/>
    <w:rsid w:val="5AD5EDB0"/>
    <w:rsid w:val="5BFA1F30"/>
    <w:rsid w:val="5C7509B6"/>
    <w:rsid w:val="5CD627F7"/>
    <w:rsid w:val="5D1453E0"/>
    <w:rsid w:val="5EED6CEB"/>
    <w:rsid w:val="5F5DCDC5"/>
    <w:rsid w:val="612D5A3E"/>
    <w:rsid w:val="61CBD3AF"/>
    <w:rsid w:val="6405D014"/>
    <w:rsid w:val="656706E7"/>
    <w:rsid w:val="67370444"/>
    <w:rsid w:val="68AB7F50"/>
    <w:rsid w:val="69D51DF3"/>
    <w:rsid w:val="6CD68A54"/>
    <w:rsid w:val="6DA20BC5"/>
    <w:rsid w:val="7622CD2D"/>
    <w:rsid w:val="7667F565"/>
    <w:rsid w:val="76E20E38"/>
    <w:rsid w:val="77A57531"/>
    <w:rsid w:val="785BEF7A"/>
    <w:rsid w:val="7A8DBEC6"/>
    <w:rsid w:val="7B837B17"/>
    <w:rsid w:val="7C5B1A58"/>
    <w:rsid w:val="7D472837"/>
    <w:rsid w:val="7E39B0B4"/>
    <w:rsid w:val="7ECB30FE"/>
    <w:rsid w:val="7EF98688"/>
    <w:rsid w:val="7F227A34"/>
    <w:rsid w:val="7F53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4873"/>
  <w15:docId w15:val="{FD91B7E2-B28C-3142-AA8C-91787B1A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17C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7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17CE"/>
    <w:pPr>
      <w:spacing w:after="0" w:line="240" w:lineRule="auto"/>
    </w:pPr>
    <w:rPr>
      <w:sz w:val="24"/>
      <w:szCs w:val="24"/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A17C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17CE"/>
    <w:rPr>
      <w:rFonts w:ascii="Times New Roman" w:hAnsi="Times New Roman" w:eastAsia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A17C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17CE"/>
    <w:rPr>
      <w:rFonts w:ascii="Times New Roman" w:hAnsi="Times New Roman" w:eastAsia="Times New Roman" w:cs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662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8D1"/>
    <w:pPr>
      <w:spacing w:after="160" w:line="259" w:lineRule="auto"/>
      <w:ind w:left="720"/>
      <w:contextualSpacing/>
    </w:pPr>
    <w:rPr>
      <w:rFonts w:ascii="Calibri" w:hAnsi="Calibri"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6d7fff-67b0-4553-8e7a-b965e4e916d9" xsi:nil="true"/>
    <lcf76f155ced4ddcb4097134ff3c332f xmlns="2f9d4143-406a-4fc5-978f-81537d965d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1872A0F747B4DBD54DA5F47ABF1CC" ma:contentTypeVersion="16" ma:contentTypeDescription="Create a new document." ma:contentTypeScope="" ma:versionID="58efdcd8522956574e74e781e3d4fb32">
  <xsd:schema xmlns:xsd="http://www.w3.org/2001/XMLSchema" xmlns:xs="http://www.w3.org/2001/XMLSchema" xmlns:p="http://schemas.microsoft.com/office/2006/metadata/properties" xmlns:ns2="2f9d4143-406a-4fc5-978f-81537d965dbc" xmlns:ns3="c86d7fff-67b0-4553-8e7a-b965e4e916d9" targetNamespace="http://schemas.microsoft.com/office/2006/metadata/properties" ma:root="true" ma:fieldsID="484bb8d8576b31929e6e3b3447c74c91" ns2:_="" ns3:_="">
    <xsd:import namespace="2f9d4143-406a-4fc5-978f-81537d965dbc"/>
    <xsd:import namespace="c86d7fff-67b0-4553-8e7a-b965e4e91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d4143-406a-4fc5-978f-81537d965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659dc5-a233-4977-8604-d7ed6e538f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d7fff-67b0-4553-8e7a-b965e4e91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cd6767-1291-4abd-86c6-6bab12a52dfe}" ma:internalName="TaxCatchAll" ma:showField="CatchAllData" ma:web="c86d7fff-67b0-4553-8e7a-b965e4e916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3CD76-5C68-45F3-8FC1-D18FC7EE1ED7}">
  <ds:schemaRefs>
    <ds:schemaRef ds:uri="http://schemas.microsoft.com/office/2006/metadata/properties"/>
    <ds:schemaRef ds:uri="http://schemas.microsoft.com/office/infopath/2007/PartnerControls"/>
    <ds:schemaRef ds:uri="c86d7fff-67b0-4553-8e7a-b965e4e916d9"/>
    <ds:schemaRef ds:uri="2f9d4143-406a-4fc5-978f-81537d965dbc"/>
  </ds:schemaRefs>
</ds:datastoreItem>
</file>

<file path=customXml/itemProps2.xml><?xml version="1.0" encoding="utf-8"?>
<ds:datastoreItem xmlns:ds="http://schemas.openxmlformats.org/officeDocument/2006/customXml" ds:itemID="{365F3028-513D-4145-A58D-435001362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d4143-406a-4fc5-978f-81537d965dbc"/>
    <ds:schemaRef ds:uri="c86d7fff-67b0-4553-8e7a-b965e4e91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D5DF5-7169-4F8F-9EDB-EE8796D7417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Samantha Cashin</dc:creator>
  <keywords/>
  <dc:description/>
  <lastModifiedBy>Rachael Gronberg</lastModifiedBy>
  <revision>7</revision>
  <dcterms:created xsi:type="dcterms:W3CDTF">2022-08-26T04:53:00.0000000Z</dcterms:created>
  <dcterms:modified xsi:type="dcterms:W3CDTF">2022-08-29T22:20:35.6408402Z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0x010100D4D1872A0F747B4DBD54DA5F47ABF1CC</vt:lpwstr>
  </property>
</Properties>
</file>